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A" w:rsidRPr="005A489A" w:rsidRDefault="005A489A" w:rsidP="00216384">
      <w:pPr>
        <w:spacing w:before="60" w:after="60" w:line="300" w:lineRule="exact"/>
        <w:ind w:left="142"/>
        <w:rPr>
          <w:rFonts w:ascii="Arial" w:hAnsi="Arial" w:cs="Arial"/>
          <w:b/>
        </w:rPr>
      </w:pPr>
      <w:r w:rsidRPr="005A489A">
        <w:rPr>
          <w:rFonts w:ascii="Arial" w:hAnsi="Arial" w:cs="Arial"/>
          <w:b/>
        </w:rPr>
        <w:t>Arbeitsschutzgesetz § 3 Grundpflichten des Arbeitgebers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(1) Der Arbeitgeber ist verpflichtet, die erforderlichen Maßnahmen des Arbeitsschutzes unter Berücksichtigung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der Umstände zu treffen, die Sicherheit und Gesundheit der Beschäftigten bei der Arbeit beeinflussen. Er hat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die Maßnahmen auf ihre Wirksamkeit zu überprüfen und erforderlichenfalls sich ändernden Gegebenheiten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anzupassen. Dabei hat er eine Verbesserung von Sicherheit und Gesundheitsschutz der Beschäftigten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anzustreben.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(2) Zur Planung und Du</w:t>
      </w:r>
      <w:bookmarkStart w:id="0" w:name="_GoBack"/>
      <w:bookmarkEnd w:id="0"/>
      <w:r w:rsidRPr="00C502D1">
        <w:rPr>
          <w:rFonts w:ascii="Arial" w:hAnsi="Arial" w:cs="Arial"/>
        </w:rPr>
        <w:t>rchführung der Maßnahmen nach Absatz 1 hat der Arbeitgeber unter Berücksichtigung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der Art der Tätigkeiten und der Zahl der Beschäftigten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1. für eine geeignete Organisation zu sorgen und die erforderlichen Mittel bereitzustellen sowie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2. Vorkehrungen zu treffen, dass die Maßnahmen erforderlichenfalls bei allen Tätigkeiten und eingebunden in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die betrieblichen Führungsstrukturen beachtet werden und die Beschäftigten ihren Mitwirkungspflichten</w:t>
      </w:r>
      <w:r>
        <w:rPr>
          <w:rFonts w:ascii="Arial" w:hAnsi="Arial" w:cs="Arial"/>
        </w:rPr>
        <w:t xml:space="preserve"> </w:t>
      </w:r>
      <w:r w:rsidRPr="00C502D1">
        <w:rPr>
          <w:rFonts w:ascii="Arial" w:hAnsi="Arial" w:cs="Arial"/>
        </w:rPr>
        <w:t>nachkommen können.</w:t>
      </w: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F57D76" w:rsidTr="00B42C20">
        <w:tc>
          <w:tcPr>
            <w:tcW w:w="6662" w:type="dxa"/>
            <w:shd w:val="clear" w:color="auto" w:fill="9CC2E5" w:themeFill="accent1" w:themeFillTint="99"/>
          </w:tcPr>
          <w:p w:rsidR="00643DCF" w:rsidRPr="00F57D76" w:rsidRDefault="00643DCF" w:rsidP="00216384">
            <w:pPr>
              <w:spacing w:before="60" w:after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89A" w:rsidRPr="00F57D76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57D76">
              <w:rPr>
                <w:rFonts w:ascii="Arial" w:hAnsi="Arial" w:cs="Arial"/>
                <w:b/>
                <w:sz w:val="28"/>
                <w:szCs w:val="28"/>
              </w:rPr>
              <w:t>Arbeitsschutzorganisation</w:t>
            </w:r>
          </w:p>
          <w:p w:rsidR="00643DCF" w:rsidRPr="00F57D76" w:rsidRDefault="00643DCF" w:rsidP="00216384">
            <w:pPr>
              <w:spacing w:before="60" w:after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:rsidR="00643DCF" w:rsidRPr="00F57D76" w:rsidRDefault="00643DCF" w:rsidP="00216384">
            <w:pPr>
              <w:spacing w:before="60" w:after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89A" w:rsidRPr="00F57D76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57D76">
              <w:rPr>
                <w:rFonts w:ascii="Arial" w:hAnsi="Arial" w:cs="Arial"/>
                <w:b/>
                <w:sz w:val="28"/>
                <w:szCs w:val="28"/>
              </w:rPr>
              <w:t>Rechtsbezug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Alleinarbeit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Prüfen, ob gefährliche Alleinarbeit vorliegt und technische bzw. organisatorische Maßnahmen treffen, z.B. Verbot der gefährlichen Alleinarbeit oder Einsatz einer Personen-Notsignal-Anlage.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9 (7) GefStoffV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 xml:space="preserve">Arbeitsmedizinische Vorsorge 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§ 11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§ 12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Anhand der Gefährdungsbeurteilung ermitteln, ob arbeitsmedizinische Vorsorge verpflichtend ist oder angeboten werden muss (in Zusammenarbeit mit dem Betriebsärztlichen Dienst).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ArbMedVV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Führen einer Vorsorgekartei (durch Betriebsärztlichen Dienst der CAU erfüllt)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ArbMedVV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Bei Pflichtvorsorge die Beschäftigten auffordern, den Betriebsärztlichen Dienst aufzusuchen (Eine Weigerung der/des Beschäftigten kann zu einer Untersagung der Tätigkeit führen).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ArbMedVV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Arbeitsmedizinische Vorsorge, z.B. Bildschirmarbeit, den Beschäftigten anbieten.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ArbMedVV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Aushänge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Aushangpflichtige Gesetze in der aktuellen Ausgabe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(soll elektronisch im Intranet geschehen – Projekt in Vorbereitung)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§ 12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Unfallverhütungsvorschriften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Aushänge zur Ersten Hilfe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24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Notfallbroschüre der CAU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24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Brandschutz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§ 10 ArbSchG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Der Brandgefahr entsprechend ausreichend Feuerlöscheinrichtungen zur Verfügung 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21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5.2 ASR A2.2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Feuerlöscheinrichtungen regelmäßig prüfen lassen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(geregelt durch CAU).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6.3 ASR A2.2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Brandschutzhelfer in ausreichender Anzahl bestellen und ausbilden lassen.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22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6.2 ASR A2.2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Die Beschäftigten regelmäßig zum Thema Brandschutz und Verhalten im Gefahrenfall unterweisen.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21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6.1 ASR A2.2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Räumungsübungen durchführen.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21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6.1 ASR A2.2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Durch geeignete Maßnahmen sicherstellen, dass Beschäftigte im Brandfall unverzüglich gewarnt werden, z.B. Brandmeldeanlage, Hausalarm, Sirene, Zuruf von Personen o.ä.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5.1 ASR A2.2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Erste Hilfe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§ 10 ArbSchG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Erste-Hilfe-Material (Verbandkästen) und Verbandbücher in ausreichender Anzahl vorhalten und regelmäßig auf Vollständigkeit prüfen.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25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Geeignete Liegemöglichkeit oder Räume mit Liegemöglichkeit zur Erstversorgung bereitstellen.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25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Nach einem Unfall für unverzügliche Erste Hilfe sorgen, eine erforderliche ärztliche Versorgung veranlassen und Verletzte sachkundig transportieren lassen.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24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 unterweisen, dass kleine Verletzungen in das Verbandbuch eingetragen und dass bei Arbeits- und Wegeunfällen mit einer Arbeitsunfähigkeit von mehr als drei Tagen eine Unfallanzeige an die</w:t>
            </w:r>
            <w:r w:rsidR="00B42C20">
              <w:rPr>
                <w:rFonts w:ascii="Arial" w:hAnsi="Arial" w:cs="Arial"/>
              </w:rPr>
              <w:t xml:space="preserve"> +</w:t>
            </w:r>
            <w:r w:rsidRPr="00C502D1">
              <w:rPr>
                <w:rFonts w:ascii="Arial" w:hAnsi="Arial" w:cs="Arial"/>
              </w:rPr>
              <w:t xml:space="preserve"> Unfallkasse Nord gesendet werden muss.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24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 xml:space="preserve">Ersthelfer in ausreichender Anzahl bestellen (in Hochschulen 10 § der Beschäftigten) und ausbilden lassen.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26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Organisieren, dass Ersthelfer alle zwei Jahre an einem Erste-Hilfe-Training teilnehmen.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26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Fluchtwege und Notausgänge, Flucht- und Rettungsplan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Fluchtwege kennzeichnen. Kennzeichnung nach ASR A1.3 „Sicherheits- und Gesundheitsschutzkenn-zeichnung“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 ASR A2.3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Die Beschäftigten anhand des Flucht- und Rettungsplans und über das Verhalten im Gefahrenfall regelmäßig unterweisen, wo sich Fluchtwege und Sammelplätze befinden.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9 ASR A2.3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Räumungsübungen durchführen.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9 ASR A2.3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Darauf achten, dass Fluchtwege, Notausgänge und Notausstiege ständig frei gehalten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 ASR A2.3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Notausgänge und Notausgänge, die von außen verstellt werden können, von außen mit dem Verbotszeichen P023 „Abstellen oder Lagern verboten“ kennzeichnen und durch Maßnahmen sichern, z.B. Abstandsbügel für Kraftfahrzeuge.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 ASR A2.3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Flucht- und Rettungsplan (aktuell) erstellen und aushängen</w:t>
            </w:r>
          </w:p>
          <w:p w:rsidR="005A489A" w:rsidRPr="00C502D1" w:rsidRDefault="005A489A" w:rsidP="00216384">
            <w:pPr>
              <w:pStyle w:val="Listenabsatz"/>
              <w:numPr>
                <w:ilvl w:val="0"/>
                <w:numId w:val="3"/>
              </w:numPr>
              <w:spacing w:before="60" w:after="60" w:line="300" w:lineRule="exact"/>
              <w:ind w:left="170" w:hanging="170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bei unübersichtlicher Flucht- und Rettungswegführung  bei einem hohen Anteil ortsunkundiger Personen (Publikumsverkehr)</w:t>
            </w:r>
          </w:p>
          <w:p w:rsidR="005A489A" w:rsidRPr="00C502D1" w:rsidRDefault="005A489A" w:rsidP="00216384">
            <w:pPr>
              <w:pStyle w:val="Listenabsatz"/>
              <w:numPr>
                <w:ilvl w:val="0"/>
                <w:numId w:val="3"/>
              </w:numPr>
              <w:spacing w:before="60" w:after="60" w:line="300" w:lineRule="exact"/>
              <w:ind w:left="170" w:hanging="170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in Bereichen mit erhöhter Gefährdung, z.B. chemische Laboratorien.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9 ASR A2.3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Gefährdungsbeurteilung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erstellen, Schutzmaßnahmen ableiten, umsetzen und Wirksamkeit kontrollieren.</w:t>
            </w:r>
          </w:p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Gefährdungsbeurteilung in regelmäßigen Abständen aktualisieren.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ArbStättV</w:t>
            </w:r>
          </w:p>
          <w:p w:rsidR="005A489A" w:rsidRPr="00C502D1" w:rsidRDefault="005A489A" w:rsidP="00B42C20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(siehe auch Bi</w:t>
            </w:r>
            <w:r w:rsidR="00B42C20">
              <w:rPr>
                <w:rFonts w:ascii="Arial" w:hAnsi="Arial" w:cs="Arial"/>
              </w:rPr>
              <w:t>o</w:t>
            </w:r>
            <w:r w:rsidRPr="00C502D1">
              <w:rPr>
                <w:rFonts w:ascii="Arial" w:hAnsi="Arial" w:cs="Arial"/>
              </w:rPr>
              <w:t>stoffe/Gefahrstoffe)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dokumentieren.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Pflichtenübertragung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Der Arbeitgeber kann zuverlässige und fachkundige Personen schriftlich damit beauftragen, ihm obliegende Aufgaben nach dem ArbSchG in eigener Verantwortung wahrzunehmen.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13 ArbSchG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Pflichten schriftlich übertragen, z.B. Führen von Gabelstaplern oder Kranen, Umgang mit Hubarbeitsbühnen.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13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Bei der Übertragung von Aufgaben auf Beschäftigte berücksichtigen, ob die Beschäftigten befähigt sind, die für die Sicherheit und den Gesundheitsschutz bei der Aufgabenerfüllung zu beachtenden Bestimmungen und Maßnahmen einzuhalten.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Beschäftigte, die erkennbar nicht in der Lage sind, eine Arbeit ohne Gefahr für sich oder andere auszuführen, mit dieser Arbeit nicht beschäftigen.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Sicherheitsbeauftrage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Sicherheitsbeauftragte in ausreichender Anzahl bestellen.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20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Sicherheitsbeauftragten die Gelegenheit geben, ihre Aufgaben zu erfüllen.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20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Sicherheitsbeauftragten die Möglichkeit zur Aus- und Fortbildung gegeben.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20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Unfälle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Unfälle dokumentieren (Arbeitsunfähigkeit über drei Tage oder Tod)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ArbSchG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Unterweisung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§ 12 ArbSchG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Neue Beschäftigte vor Aufnahme der Tätigkeit ein- und unterweisen.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Alle Beschäftigten regelmäßig, mindestens einmal jährlich unterweisen. Die Unterweisung muss in einer für die Beschäftigten verständlichen Form und Sprache erfolgen.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Gefahrstoffe: Teil der Unterweisung ist eine allgemeine arbeitsmedizinisch-toxikologische Beratung.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Unterweisungen dokumentierten (kurze Inhaltsangabe, Namen und Unterschriften der Beschäftigten, Datum und Unterschrift der/des Unterweisenden).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BioStoffV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Wettergeschehen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Geeignete Schutzmaßnahmen, z.B. Schnee räumen, Wege streuen, Laub beseitigen, Wege sperren…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23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Persönliche Schutzausrüstung zur Verfügung stellen, z.B. Regen- oder Kälteschutzkleidung</w:t>
            </w:r>
          </w:p>
          <w:p w:rsidR="00B42C20" w:rsidRPr="00C502D1" w:rsidRDefault="00B42C20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23 DGUV Vorschrift 1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lastRenderedPageBreak/>
              <w:t>Zusammenarbeit und Fremdfirmen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Zusammenarbeit koordinieren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Bestimmen ein</w:t>
            </w:r>
            <w:r w:rsidR="00B42C20">
              <w:rPr>
                <w:rFonts w:ascii="Arial" w:hAnsi="Arial" w:cs="Arial"/>
              </w:rPr>
              <w:t>es Sicherheits- und Gesundheits</w:t>
            </w:r>
            <w:r w:rsidRPr="00C502D1">
              <w:rPr>
                <w:rFonts w:ascii="Arial" w:hAnsi="Arial" w:cs="Arial"/>
              </w:rPr>
              <w:t>schutz</w:t>
            </w:r>
            <w:r w:rsidR="00B42C20">
              <w:rPr>
                <w:rFonts w:ascii="Arial" w:hAnsi="Arial" w:cs="Arial"/>
              </w:rPr>
              <w:t xml:space="preserve"> </w:t>
            </w:r>
            <w:r w:rsidRPr="00C502D1">
              <w:rPr>
                <w:rFonts w:ascii="Arial" w:hAnsi="Arial" w:cs="Arial"/>
              </w:rPr>
              <w:t>koordinator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(4)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Vergewissern, das Beschäftigte von Fremdfirmen Anweisungen erhalten haben.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 von Fremdfirmen unterweisen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ArbSchG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Bei der Gefährdung durch Gefahrstoffe haben alle betroffenen Arbeitgeber bei der Durchführung der Gefährdungsbeurteilung zusammenzuarbeiten und die Schutzmaßnahmen abzustimmen.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(2)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Fremdfirmen informieren, ob Gefahrstoffe, z.B. Asbest, vorhanden sind.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 (5)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erstellen, Schutzmaßnahmen ableiten und umsetzen.</w:t>
            </w:r>
          </w:p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in regelmäßigen Abständen aktualisieren.</w:t>
            </w:r>
          </w:p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Die Gefährdungsbeurteilung darf nur durch fachkundige Personen erstellt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Art, Umfang und Fristen der Prüfungen von Arbeitsmitteln sowie die Fristen von wiederkehrenden Prüfungen ermitteln und festlegen.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(6)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Arbeitsmittel prüfen lassen.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Prüfung dokumentieren.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Nur solche Arbeitsmittel zur Verfügung stellen und verwenden lassen, die unter Berücksichtigung der vorgesehenen Einsatzbedingungen bei der Verwendung sicher sind.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Arbeitsmittel, die Mängel aufweisen welche die sichere Verwendung beeinträchtigen, stilllegen.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Dafür sorgen, dass Beschäftigte nur die Arbeitsmittel verwenden, die Ihnen zur Verfügung gestellt wurden oder deren Verwendung ausdrücklich gestattet wurde.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Schutzmaßnahmen entsprechend § 8,9 BetrSichV müssen vorhanden sein.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Instandhaltungsmaßnahmen treffen, damit die Arbeitsmittel während der gesamten Verwendungsdauer den für sie geltenden Sicherheits- und Gesundheitsschutzanforderungen entsprechen.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10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 vor erstmaliger Verwendung eines Arbeitsmittels über Gefährdungen informieren.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 in regelmäßigen Abständen, mindestens einmal jährlich unterweisen. Die Unterweisung muss in einer für die Beschäftigten verständlichen Form und Sprache erfolgen.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Betriebsanweisung in verständlicher Form und Sprache erstellen und den Beschäftigten zur Verfügung 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BetrSichV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Dafür sorgen, dass Arbeitsmitteln mit besonderen Gefährdungen, z.B. Gabelstapler, Hubarbeitsbühne, Kran, nur von hierzu beauftragten Beschäftigten verwendet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12 BetrSichV</w:t>
            </w: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  <w:b/>
              </w:rPr>
              <w:t>Arbeitsstätten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Arbeitsstätten so einrichten und Betreiben, dass von Ihnen keine Gefährdungen für die Sicherheit und die Gesundheit der Beschäftigten ausgehen.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3a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Bei Beschäftigten mit Behinderungen muss die Arbeitsstätte barrierefrei eingerichtet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3a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Arbeitsstätten sind instand zu halten und festgestellt Mängel unverzüglich zu beseitigen.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Den hygienischen Erfordernissen entsprechende Reinigung der Arbeitsstätten.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Nichtraucher vor den Gesundheitsgefahren durch Tabakrauch schützen.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ArbStättV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Arbeitsräume bereitstellen, die ausreichend Grundfläche und Höhe aufweisen.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ArbStättV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Beleuchtung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Mindestwerte der Beleuchtungsstärken einhalten (siehe Anhang 1)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5.2 ASR A3.4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Störende Blendung durch Sonneneinstrahlung vermeiden bzw. minimieren.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4.2 ASR A3.4</w:t>
            </w: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Raumtemperatur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Mindesttemperatur in Räumen muss mindestens den Werten in Tabelle 1 entsprechen: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4.2 ASR A3.5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Führt Sonneneinstrahlung durch Fenster, Oberlichter, Glaswände zu einer Erhöhung der Raumtemperatur über +26 °C, sind diese mit geeigneten Sonnenschutzsystemen auszurüsten.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4.3 ASR A3.5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Technische, organisatorische und persönliche Maßnahmen bei Lufttemperaturen über + 26 °C, +30 °C und +35 °C in Arbeitsräumen.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Punkt 4.4 ASR A3.5</w:t>
            </w: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Aufträge vergeben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Auftragnehmer schriftlich aufgeben, die Grundpflichten der DGUV Vorschrift 1, §2 Absatz 1 und 2 für die Durchführung des Auftrags zu beachten.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</w:rPr>
              <w:t>§ 5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Auftragnehmer bei der der Gefährdungsbeurteilung bzgl. der betriebsspezifischen Gefahren zu unterstützen.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Tätigkeiten mit besonderen Gefahren müssen durch Aufsichtsführende überwacht werden. (Aufsichtsführender kann durch Auftragnehmer gestellt werden)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DGUV Vorschrift 1</w:t>
            </w: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  <w:b/>
              </w:rPr>
              <w:t>Biologische Arbeitsstoffe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 xml:space="preserve">BioStoffV 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Verzeichnis der verwendeten oder auftretenden biologischen Arbeitsstoffe erstellen.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Ermitteln des Infektionsrisikos und Einstufung der Biostoffe in Risikogruppen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 xml:space="preserve">Gefährdungsbeurteilung erstellen und alle zwei Jahre überprüfen. Gefährdungsbeurteilung darf nur durch </w:t>
            </w:r>
            <w:r w:rsidRPr="00C502D1">
              <w:rPr>
                <w:rFonts w:ascii="Arial" w:hAnsi="Arial" w:cs="Arial"/>
                <w:b/>
              </w:rPr>
              <w:t>fachkundige</w:t>
            </w:r>
            <w:r w:rsidRPr="00C502D1">
              <w:rPr>
                <w:rFonts w:ascii="Arial" w:hAnsi="Arial" w:cs="Arial"/>
              </w:rPr>
              <w:t xml:space="preserve"> Personen durchgeführt werden.</w:t>
            </w:r>
          </w:p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Schutzmaßnahmen festlegen. Funktion der technischen Schutzmaßnahmen regelmäßig und deren Wirksamkeit mindestens jedes zweite Jahr überprüfen.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4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dokumentieren.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Ermitteln, ob gezielte oder nicht gezielte Tätigkeiten ausgeübt werden. (Bei Tätigkeiten in Laboratorien, der Versuchstierhaltung, der Biotechnologie sowie in Einrichtungen des Gesundheitsdienstes)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Schutzmaßnahmen einhalten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9ff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Arbeitsbereich- und biostoffbezogene Betriebsanweisungen in verständlicher Form und Sprache erstellen und den Beschäftigten zur Verfügung stellen. (Gilt nicht für Tätigkeiten mit Biostoffen der Risikogruppe 1 ohne sensibilisierende oder toxische Wirkungen)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Beschäftigte in regelmäßigen Abständen, mindestens einmal jährlich unterweisen. Die Unterweisung muss in einer für die Beschäftigten verständlichen Form und Sprache erfolgen.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BioStoffV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Behördliche Anzeige-, Erlaubnis- und Informationspflicht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15-17 BioStoffV</w:t>
            </w: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Elektrische Anlagen und Betriebsmittel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DGUV Vorschrift 4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tabs>
                <w:tab w:val="left" w:pos="4315"/>
              </w:tabs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Dafür sorgen, dass elektrische Anlagen und Betriebsmittel nur von einer Elektrofachkraft oder unter Leitung einer Elektrofachkraft den elektrotechnischen Regeln entsprechend errichtet, geändert und in Stand gehalten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</w:rPr>
              <w:t>§ 3 DGUV Vorschrift 4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Dafür sorgen, dass elektrische Anlagen und Betriebsmittel den elektrotechnischen Regeln entsprechend betrieben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DGUV Vorschrift 4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Elektrische Anlagen und Betriebsmittel regelmäßig prüfen lassen.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5 DGUV Vorschrift 4</w:t>
            </w:r>
          </w:p>
        </w:tc>
      </w:tr>
    </w:tbl>
    <w:p w:rsidR="005A489A" w:rsidRDefault="005A489A" w:rsidP="00216384">
      <w:pPr>
        <w:spacing w:before="60" w:after="60" w:line="300" w:lineRule="exact"/>
        <w:rPr>
          <w:rFonts w:ascii="Arial" w:hAnsi="Arial" w:cs="Arial"/>
        </w:rPr>
      </w:pPr>
    </w:p>
    <w:p w:rsidR="00B42C20" w:rsidRPr="00C502D1" w:rsidRDefault="00B42C20" w:rsidP="00216384">
      <w:pPr>
        <w:spacing w:before="60" w:after="60" w:line="300" w:lineRule="exact"/>
        <w:rPr>
          <w:rFonts w:ascii="Arial" w:hAnsi="Arial" w:cs="Arial"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  <w:b/>
              </w:rPr>
              <w:lastRenderedPageBreak/>
              <w:t>Gefahrstoffe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Gefährdungsbeurteilung erstellen und regelmäßig prüfen. Gefährdungsbeurteilung darf nur durch </w:t>
            </w:r>
            <w:r w:rsidRPr="00C502D1">
              <w:rPr>
                <w:rFonts w:ascii="Arial" w:hAnsi="Arial" w:cs="Arial"/>
                <w:b/>
              </w:rPr>
              <w:t>fachkundige</w:t>
            </w:r>
            <w:r w:rsidRPr="00C502D1">
              <w:rPr>
                <w:rFonts w:ascii="Arial" w:hAnsi="Arial" w:cs="Arial"/>
              </w:rPr>
              <w:t xml:space="preserve"> Personen durchgeführt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Erweiterung der Gefährdungsbeurteilung um Explosionsschutzdokument: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 durch gefährliche explosionsfähige Gemische.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(9)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Gefährdungsbeurteilung dokumentieren.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(8)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Alle Gefahrstoffe in einem Gefahrstoffverzeichnis erfassen (kann in elektronischer Form erfolgen).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</w:rPr>
              <w:t>Gilt nicht, wenn nur Tätigkeiten mit geringer Gefährdung ausgeübt werden.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(12)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Innerbetrieblich hergestellt Stoffe oder Zubereitungen einstufen bzw. die von den Stoffen oder Zubereitungen ausgehenden Gefährdungen ermitteln.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6 (3)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Funktion und Wirksamkeit der technischen Schutzmaßnahmen regelmäßig, mindestens jedes dritte Jahr, überprüfen. Prüfergebnisse dokumentieren.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7 (7)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Kennzeichnung: Alle Behälter mit verwendeten Stoffe und Zubereitungen müssen gekennzeichnet sein (einfache Kennzeichnung für Laboratorien). Gilt nicht für Stoffe, die für Forschungs- und Entwicklungs-zwecke oder für wiss. Lehrzwecke neu hergestellt worden sind und noch nicht geprüft werden konnten.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(Hinweis auf Behälter: Stoff noch nicht ausreichend geprüft).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(2)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Gefahrstoffe müssen so aufbewahrt oder gelagert werden, dass sie weder menschliche Gesundheit noch Umwelt gefährden.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(5)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Aufbewahrung folgender Stoffe unter Verschluss oder mit Zugangsbeschränkung:</w:t>
            </w:r>
          </w:p>
          <w:p w:rsidR="005A489A" w:rsidRPr="00C502D1" w:rsidRDefault="00F57D76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Giftige, </w:t>
            </w:r>
            <w:r w:rsidR="005A489A" w:rsidRPr="00C502D1">
              <w:rPr>
                <w:rFonts w:ascii="Arial" w:hAnsi="Arial" w:cs="Arial"/>
              </w:rPr>
              <w:t>sehr giftige, krebserzeugende Kat. 1 oder 2, erbgutverändernde Kat. 1 oder 2 oder fortpflanzungsgefährdende Kat 1 oder 2 eingestufte Stoffe und Zubereitungen.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8 (7)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Bereitstellung persönlicher Schutzausrüstung bei Gefährdung durch Haut- oder Augenkontakt.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9 (4)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Getrennte Aufbewahrungsmöglichkeiten für Arbeits- bzw. Schutzkleidung und Straßenkleidung.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Durch Gefahrstoffe verunreinigte Arbeitskleidung ist zu reinigen.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lastRenderedPageBreak/>
              <w:t>§ 9 (5)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Notfallplan: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Festlegen von Notfallmaßnahmen bzgl. Betriebsstörungen, Unfällen oder Notfällen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13 (1)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Durchführung von Sicherheitsübungen in regelmäßigen Abständen.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13 (1)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Betriebsanweisungen in verständlicher Form und Sprache erstellen und den Beschäftigten zur Verfügung stellen.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(1)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Aktuelle Sicherheitsdatenblätter für sämtliche Gefahrstoffe vorhalten (kann in elektronischer Form erfolgen).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(1)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Teil der Unterweisung ist eine allgemeine arbeitsmedizinisch-toxikologische Beratung.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Die Unterweisung muss in einer für die Beschäftigten verständlichen Form und Sprache erfolgen.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(2)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Krebserzeugende, erbgutverändernde oder fruchtbarkeitsgefährdende Gefahrstoffe: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Technische, organisatorische und persönliche Maßnahmen entsprechend GefStoffV und TRGS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10 GefStoffV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Bei Beschäftigten, bei denen die Gefährdungs-beurteilung eine Gefährdung der Gesundheit oder Sicherheit ergibt: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Führen eines Verzeichnisses. (Dieses muss 40 Jahre aufbewahrt werden.)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14 (3) GefStoffV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</w:rPr>
      </w:pPr>
    </w:p>
    <w:tbl>
      <w:tblPr>
        <w:tblStyle w:val="Tabellenraster"/>
        <w:tblW w:w="10631" w:type="dxa"/>
        <w:tblInd w:w="137" w:type="dxa"/>
        <w:tblLook w:val="04A0" w:firstRow="1" w:lastRow="0" w:firstColumn="1" w:lastColumn="0" w:noHBand="0" w:noVBand="1"/>
      </w:tblPr>
      <w:tblGrid>
        <w:gridCol w:w="6662"/>
        <w:gridCol w:w="3969"/>
      </w:tblGrid>
      <w:tr w:rsidR="005A489A" w:rsidRPr="00C502D1" w:rsidTr="00B42C20">
        <w:tc>
          <w:tcPr>
            <w:tcW w:w="6662" w:type="dxa"/>
            <w:shd w:val="clear" w:color="auto" w:fill="DEEAF6" w:themeFill="accent1" w:themeFillTint="33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 w:rsidRPr="00C502D1">
              <w:rPr>
                <w:rFonts w:ascii="Arial" w:hAnsi="Arial" w:cs="Arial"/>
                <w:b/>
              </w:rPr>
              <w:t>Persönliche Schutzausrüstung (PSA)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A489A" w:rsidRPr="00C502D1" w:rsidRDefault="00D33923" w:rsidP="00216384">
            <w:pPr>
              <w:spacing w:before="60" w:after="6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PSA-Benutzungsverordnung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Persönliche Schutzausrüstung bereitstellen; vor dem Bereitstellen sind die Beschäftigten anzuhören.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29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Dafür sorgen, dass PSA bestimmungsgemäß benutzt wird.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30 DGUV Vorschrift 1</w:t>
            </w:r>
          </w:p>
        </w:tc>
      </w:tr>
      <w:tr w:rsidR="005A489A" w:rsidRPr="00C502D1" w:rsidTr="005A489A">
        <w:tc>
          <w:tcPr>
            <w:tcW w:w="6662" w:type="dxa"/>
          </w:tcPr>
          <w:p w:rsidR="006C076B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Beschäftigte bei PSA gegen tödliche Gefahren oder bleibende Gesundheitsschäden unterweisen 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(Unterweisung einschließlich Übung).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31 DGUV Vorschrift 1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3 PSA-BV</w:t>
            </w: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 xml:space="preserve">PSA individuell entsprechend den Bedürfnissen der Beschäftigten beschaffen. 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 PSA-BV</w:t>
            </w:r>
          </w:p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</w:p>
        </w:tc>
      </w:tr>
      <w:tr w:rsidR="005A489A" w:rsidRPr="00C502D1" w:rsidTr="005A489A">
        <w:tc>
          <w:tcPr>
            <w:tcW w:w="6662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PSA warten, reparieren oder ersetzen sowie ordnungsgemäß lagern.</w:t>
            </w:r>
          </w:p>
        </w:tc>
        <w:tc>
          <w:tcPr>
            <w:tcW w:w="3969" w:type="dxa"/>
          </w:tcPr>
          <w:p w:rsidR="005A489A" w:rsidRPr="00C502D1" w:rsidRDefault="005A489A" w:rsidP="00216384">
            <w:pPr>
              <w:spacing w:before="60" w:after="60" w:line="300" w:lineRule="exact"/>
              <w:rPr>
                <w:rFonts w:ascii="Arial" w:hAnsi="Arial" w:cs="Arial"/>
              </w:rPr>
            </w:pPr>
            <w:r w:rsidRPr="00C502D1">
              <w:rPr>
                <w:rFonts w:ascii="Arial" w:hAnsi="Arial" w:cs="Arial"/>
              </w:rPr>
              <w:t>§ 2 PSA-BV</w:t>
            </w:r>
          </w:p>
        </w:tc>
      </w:tr>
    </w:tbl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  <w:b/>
        </w:rPr>
      </w:pPr>
    </w:p>
    <w:p w:rsidR="005A489A" w:rsidRPr="00C502D1" w:rsidRDefault="005A489A" w:rsidP="00216384">
      <w:pPr>
        <w:spacing w:before="60" w:after="60" w:line="300" w:lineRule="exact"/>
        <w:rPr>
          <w:rFonts w:ascii="Arial" w:hAnsi="Arial" w:cs="Arial"/>
        </w:rPr>
      </w:pP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ArbMedVV</w:t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  <w:t>Verordnung zur Arbeitsmedizinischen Vorsorge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 xml:space="preserve">ArbSchG       </w:t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  <w:t>Arbeitsschutzgesetz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ArbStättV</w:t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  <w:t>Arbeit</w:t>
      </w:r>
      <w:r w:rsidR="006C076B">
        <w:rPr>
          <w:rFonts w:ascii="Arial" w:hAnsi="Arial" w:cs="Arial"/>
        </w:rPr>
        <w:t>s</w:t>
      </w:r>
      <w:r w:rsidRPr="00C502D1">
        <w:rPr>
          <w:rFonts w:ascii="Arial" w:hAnsi="Arial" w:cs="Arial"/>
        </w:rPr>
        <w:t>stättenverordnung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ASR</w:t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  <w:t>Technische Regeln für Arbeits</w:t>
      </w:r>
      <w:r w:rsidR="006C076B">
        <w:rPr>
          <w:rFonts w:ascii="Arial" w:hAnsi="Arial" w:cs="Arial"/>
        </w:rPr>
        <w:t>s</w:t>
      </w:r>
      <w:r w:rsidRPr="00C502D1">
        <w:rPr>
          <w:rFonts w:ascii="Arial" w:hAnsi="Arial" w:cs="Arial"/>
        </w:rPr>
        <w:t>tätten</w:t>
      </w:r>
    </w:p>
    <w:p w:rsidR="005A489A" w:rsidRPr="00C502D1" w:rsidRDefault="005A489A" w:rsidP="00216384">
      <w:pPr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BetrSichV</w:t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</w:r>
      <w:r w:rsidRPr="00C502D1">
        <w:rPr>
          <w:rFonts w:ascii="Arial" w:hAnsi="Arial" w:cs="Arial"/>
        </w:rPr>
        <w:tab/>
        <w:t>Betriebssicherheitsverordnung</w:t>
      </w:r>
    </w:p>
    <w:p w:rsidR="005A489A" w:rsidRPr="00C502D1" w:rsidRDefault="005A489A" w:rsidP="00216384">
      <w:pPr>
        <w:tabs>
          <w:tab w:val="left" w:pos="2835"/>
        </w:tabs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BiostoffV</w:t>
      </w:r>
      <w:r w:rsidRPr="00C502D1">
        <w:rPr>
          <w:rFonts w:ascii="Arial" w:hAnsi="Arial" w:cs="Arial"/>
        </w:rPr>
        <w:tab/>
        <w:t>Biostoffverordnung</w:t>
      </w:r>
    </w:p>
    <w:p w:rsidR="005A489A" w:rsidRPr="00C502D1" w:rsidRDefault="005A489A" w:rsidP="00216384">
      <w:pPr>
        <w:tabs>
          <w:tab w:val="left" w:pos="2835"/>
        </w:tabs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GefStoffV</w:t>
      </w:r>
      <w:r w:rsidRPr="00C502D1">
        <w:rPr>
          <w:rFonts w:ascii="Arial" w:hAnsi="Arial" w:cs="Arial"/>
        </w:rPr>
        <w:tab/>
        <w:t>Gefahrstoffverordnung</w:t>
      </w:r>
    </w:p>
    <w:p w:rsidR="005A489A" w:rsidRPr="00C502D1" w:rsidRDefault="005A489A" w:rsidP="00216384">
      <w:pPr>
        <w:tabs>
          <w:tab w:val="left" w:pos="2835"/>
        </w:tabs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PSA-BV</w:t>
      </w:r>
      <w:r w:rsidRPr="00C502D1">
        <w:rPr>
          <w:rFonts w:ascii="Arial" w:hAnsi="Arial" w:cs="Arial"/>
        </w:rPr>
        <w:tab/>
        <w:t>PSA-Benutzungsverordnung</w:t>
      </w:r>
    </w:p>
    <w:p w:rsidR="005A489A" w:rsidRPr="00C502D1" w:rsidRDefault="005A489A" w:rsidP="00216384">
      <w:pPr>
        <w:tabs>
          <w:tab w:val="left" w:pos="2835"/>
        </w:tabs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DGUV Vorschrift 1</w:t>
      </w:r>
      <w:r w:rsidRPr="00C502D1">
        <w:rPr>
          <w:rFonts w:ascii="Arial" w:hAnsi="Arial" w:cs="Arial"/>
        </w:rPr>
        <w:tab/>
        <w:t xml:space="preserve">Unfallverhütungsvorschrift „Grundsätze der Prävention“ </w:t>
      </w:r>
    </w:p>
    <w:p w:rsidR="005A489A" w:rsidRPr="00C502D1" w:rsidRDefault="005A489A" w:rsidP="00216384">
      <w:pPr>
        <w:tabs>
          <w:tab w:val="left" w:pos="2835"/>
        </w:tabs>
        <w:spacing w:before="60" w:after="60" w:line="300" w:lineRule="exact"/>
        <w:ind w:left="142"/>
        <w:rPr>
          <w:rFonts w:ascii="Arial" w:hAnsi="Arial" w:cs="Arial"/>
        </w:rPr>
      </w:pPr>
      <w:r w:rsidRPr="00C502D1">
        <w:rPr>
          <w:rFonts w:ascii="Arial" w:hAnsi="Arial" w:cs="Arial"/>
        </w:rPr>
        <w:t>DGUV Vorschrift 4</w:t>
      </w:r>
      <w:r w:rsidRPr="00C502D1">
        <w:rPr>
          <w:rFonts w:ascii="Arial" w:hAnsi="Arial" w:cs="Arial"/>
        </w:rPr>
        <w:tab/>
        <w:t>Elektrische Anlagen und Betriebsmittel</w:t>
      </w:r>
    </w:p>
    <w:p w:rsidR="00091D3E" w:rsidRPr="005A489A" w:rsidRDefault="00091D3E" w:rsidP="00216384">
      <w:pPr>
        <w:spacing w:before="60" w:after="60" w:line="300" w:lineRule="exact"/>
      </w:pPr>
    </w:p>
    <w:sectPr w:rsidR="00091D3E" w:rsidRPr="005A489A" w:rsidSect="00E137C8">
      <w:headerReference w:type="even" r:id="rId8"/>
      <w:headerReference w:type="default" r:id="rId9"/>
      <w:footerReference w:type="default" r:id="rId10"/>
      <w:type w:val="continuous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11" w:rsidRDefault="004D6F11" w:rsidP="00695539">
      <w:r>
        <w:separator/>
      </w:r>
    </w:p>
  </w:endnote>
  <w:endnote w:type="continuationSeparator" w:id="0">
    <w:p w:rsidR="004D6F11" w:rsidRDefault="004D6F11" w:rsidP="0069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GUV Meta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DGUV Meta-Normal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8A" w:rsidRPr="001A0FE7" w:rsidRDefault="001A0FE7" w:rsidP="001A0FE7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 w:rsidRPr="00232009">
      <w:rPr>
        <w:sz w:val="16"/>
        <w:szCs w:val="16"/>
      </w:rPr>
      <w:t>Stand: 08/201</w:t>
    </w:r>
    <w:r>
      <w:rPr>
        <w:sz w:val="16"/>
        <w:szCs w:val="16"/>
      </w:rPr>
      <w:t>9                                                                © www.betriebinbestform.de</w:t>
    </w:r>
    <w:r w:rsidRPr="00232009">
      <w:rPr>
        <w:sz w:val="16"/>
        <w:szCs w:val="16"/>
      </w:rPr>
      <w:tab/>
      <w:t xml:space="preserve">Seite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PAGE  \* MERGEFORMAT </w:instrText>
    </w:r>
    <w:r w:rsidRPr="00232009">
      <w:rPr>
        <w:sz w:val="16"/>
        <w:szCs w:val="16"/>
      </w:rPr>
      <w:fldChar w:fldCharType="separate"/>
    </w:r>
    <w:r w:rsidR="00B42C20">
      <w:rPr>
        <w:noProof/>
        <w:sz w:val="16"/>
        <w:szCs w:val="16"/>
      </w:rPr>
      <w:t>11</w:t>
    </w:r>
    <w:r w:rsidRPr="00232009">
      <w:rPr>
        <w:sz w:val="16"/>
        <w:szCs w:val="16"/>
      </w:rPr>
      <w:fldChar w:fldCharType="end"/>
    </w:r>
    <w:r w:rsidRPr="00232009">
      <w:rPr>
        <w:sz w:val="16"/>
        <w:szCs w:val="16"/>
      </w:rPr>
      <w:t xml:space="preserve"> von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SECTIONPAGES  \* MERGEFORMAT </w:instrText>
    </w:r>
    <w:r w:rsidRPr="00232009">
      <w:rPr>
        <w:sz w:val="16"/>
        <w:szCs w:val="16"/>
      </w:rPr>
      <w:fldChar w:fldCharType="separate"/>
    </w:r>
    <w:r w:rsidR="00B42C20">
      <w:rPr>
        <w:noProof/>
        <w:sz w:val="16"/>
        <w:szCs w:val="16"/>
      </w:rPr>
      <w:t>11</w:t>
    </w:r>
    <w:r w:rsidRPr="002320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11" w:rsidRDefault="004D6F11" w:rsidP="00695539">
      <w:r>
        <w:separator/>
      </w:r>
    </w:p>
  </w:footnote>
  <w:footnote w:type="continuationSeparator" w:id="0">
    <w:p w:rsidR="004D6F11" w:rsidRDefault="004D6F11" w:rsidP="0069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D" w:rsidRDefault="00046F97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827AE3C" wp14:editId="655405FE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1BCD" w:rsidRPr="00D177D6" w:rsidRDefault="004D6F11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7AE3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191BCD" w:rsidRPr="00D177D6" w:rsidRDefault="004D6F11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63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521"/>
      <w:gridCol w:w="2409"/>
    </w:tblGrid>
    <w:tr w:rsidR="00E137C8" w:rsidTr="006E008E">
      <w:tc>
        <w:tcPr>
          <w:tcW w:w="1701" w:type="dxa"/>
          <w:shd w:val="clear" w:color="auto" w:fill="D9D9D9" w:themeFill="background1" w:themeFillShade="D9"/>
        </w:tcPr>
        <w:p w:rsidR="00035EC2" w:rsidRDefault="00E33156" w:rsidP="00E33156">
          <w:pPr>
            <w:pStyle w:val="Kopfzeile"/>
            <w:tabs>
              <w:tab w:val="clear" w:pos="9072"/>
            </w:tabs>
            <w:spacing w:before="120" w:after="120" w:line="450" w:lineRule="exact"/>
            <w:jc w:val="center"/>
            <w:rPr>
              <w:b/>
              <w:sz w:val="56"/>
              <w:szCs w:val="56"/>
            </w:rPr>
          </w:pPr>
          <w:r>
            <w:rPr>
              <w:b/>
            </w:rPr>
            <w:t>Firmenlogo</w:t>
          </w:r>
        </w:p>
      </w:tc>
      <w:tc>
        <w:tcPr>
          <w:tcW w:w="6521" w:type="dxa"/>
          <w:shd w:val="clear" w:color="auto" w:fill="D9D9D9" w:themeFill="background1" w:themeFillShade="D9"/>
        </w:tcPr>
        <w:p w:rsidR="00E137C8" w:rsidRPr="00763227" w:rsidRDefault="006E008E" w:rsidP="001E1365">
          <w:pPr>
            <w:pStyle w:val="berschrift1"/>
            <w:spacing w:before="120"/>
            <w:ind w:left="-6"/>
            <w:jc w:val="center"/>
            <w:outlineLvl w:val="0"/>
            <w:rPr>
              <w:rFonts w:cs="Arial"/>
              <w:noProof/>
              <w:sz w:val="36"/>
              <w:szCs w:val="36"/>
            </w:rPr>
          </w:pPr>
          <w:r w:rsidRPr="00763227">
            <w:rPr>
              <w:rFonts w:cs="Arial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12CF462" wp14:editId="54A81E9B">
                    <wp:simplePos x="0" y="0"/>
                    <wp:positionH relativeFrom="column">
                      <wp:posOffset>4068445</wp:posOffset>
                    </wp:positionH>
                    <wp:positionV relativeFrom="paragraph">
                      <wp:posOffset>-43180</wp:posOffset>
                    </wp:positionV>
                    <wp:extent cx="0" cy="895350"/>
                    <wp:effectExtent l="19050" t="0" r="1905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953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6134AF" id="Gerader Verbinde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35pt,-3.4pt" to="320.3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" strokecolor="white [3212]" strokeweight="2.25pt">
                    <v:stroke joinstyle="miter"/>
                  </v:line>
                </w:pict>
              </mc:Fallback>
            </mc:AlternateContent>
          </w:r>
          <w:r w:rsidR="005A489A">
            <w:rPr>
              <w:rFonts w:cs="Arial"/>
              <w:noProof/>
              <w:sz w:val="36"/>
              <w:szCs w:val="36"/>
            </w:rPr>
            <w:t>Pflichten im Arbeitsschutz</w:t>
          </w:r>
        </w:p>
        <w:p w:rsidR="00763227" w:rsidRPr="005A489A" w:rsidRDefault="005A489A" w:rsidP="005A489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A489A">
            <w:rPr>
              <w:rFonts w:ascii="Arial" w:hAnsi="Arial" w:cs="Arial"/>
              <w:sz w:val="18"/>
              <w:szCs w:val="18"/>
            </w:rPr>
            <w:t>Arbeitsschutzgesetz § 3 Grundpflichten des Arbeitgebers</w:t>
          </w:r>
        </w:p>
      </w:tc>
      <w:tc>
        <w:tcPr>
          <w:tcW w:w="2409" w:type="dxa"/>
          <w:shd w:val="clear" w:color="auto" w:fill="D9D9D9" w:themeFill="background1" w:themeFillShade="D9"/>
        </w:tcPr>
        <w:p w:rsidR="00035EC2" w:rsidRPr="00035EC2" w:rsidRDefault="00035EC2" w:rsidP="00035EC2">
          <w:pPr>
            <w:tabs>
              <w:tab w:val="right" w:pos="2127"/>
            </w:tabs>
            <w:spacing w:before="100" w:line="264" w:lineRule="auto"/>
            <w:ind w:left="34"/>
            <w:jc w:val="both"/>
            <w:rPr>
              <w:rFonts w:ascii="Arial" w:hAnsi="Arial" w:cs="Arial"/>
              <w:sz w:val="22"/>
            </w:rPr>
          </w:pPr>
          <w:r w:rsidRPr="00035EC2">
            <w:rPr>
              <w:rFonts w:ascii="Arial" w:hAnsi="Arial" w:cs="Arial"/>
              <w:sz w:val="22"/>
            </w:rPr>
            <w:t xml:space="preserve">Seite: </w: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begin"/>
          </w:r>
          <w:r w:rsidRPr="00035EC2">
            <w:rPr>
              <w:rStyle w:val="Seitenzahl"/>
              <w:rFonts w:ascii="Arial" w:hAnsi="Arial" w:cs="Arial"/>
              <w:sz w:val="22"/>
            </w:rPr>
            <w:instrText xml:space="preserve"> PAGE </w:instrTex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separate"/>
          </w:r>
          <w:r w:rsidR="00B42C20">
            <w:rPr>
              <w:rStyle w:val="Seitenzahl"/>
              <w:rFonts w:ascii="Arial" w:hAnsi="Arial" w:cs="Arial"/>
              <w:noProof/>
              <w:sz w:val="22"/>
            </w:rPr>
            <w:t>11</w: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end"/>
          </w:r>
          <w:r w:rsidRPr="00035EC2">
            <w:rPr>
              <w:rStyle w:val="Seitenzahl"/>
              <w:rFonts w:ascii="Arial" w:hAnsi="Arial" w:cs="Arial"/>
              <w:sz w:val="22"/>
            </w:rPr>
            <w:t xml:space="preserve"> von </w: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begin"/>
          </w:r>
          <w:r w:rsidRPr="00035EC2">
            <w:rPr>
              <w:rStyle w:val="Seitenzahl"/>
              <w:rFonts w:ascii="Arial" w:hAnsi="Arial" w:cs="Arial"/>
              <w:sz w:val="22"/>
            </w:rPr>
            <w:instrText xml:space="preserve"> NUMPAGES </w:instrTex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separate"/>
          </w:r>
          <w:r w:rsidR="00B42C20">
            <w:rPr>
              <w:rStyle w:val="Seitenzahl"/>
              <w:rFonts w:ascii="Arial" w:hAnsi="Arial" w:cs="Arial"/>
              <w:noProof/>
              <w:sz w:val="22"/>
            </w:rPr>
            <w:t>11</w:t>
          </w:r>
          <w:r w:rsidRPr="00035EC2">
            <w:rPr>
              <w:rStyle w:val="Seitenzahl"/>
              <w:rFonts w:ascii="Arial" w:hAnsi="Arial" w:cs="Arial"/>
              <w:sz w:val="22"/>
            </w:rPr>
            <w:fldChar w:fldCharType="end"/>
          </w:r>
        </w:p>
        <w:p w:rsidR="00035EC2" w:rsidRPr="00035EC2" w:rsidRDefault="00035EC2" w:rsidP="00035EC2">
          <w:pPr>
            <w:tabs>
              <w:tab w:val="right" w:pos="2127"/>
            </w:tabs>
            <w:spacing w:line="264" w:lineRule="auto"/>
            <w:ind w:left="34" w:right="86"/>
            <w:jc w:val="both"/>
            <w:rPr>
              <w:rFonts w:ascii="Arial" w:hAnsi="Arial" w:cs="Arial"/>
              <w:sz w:val="22"/>
            </w:rPr>
          </w:pPr>
          <w:r w:rsidRPr="00035EC2">
            <w:rPr>
              <w:rFonts w:ascii="Arial" w:hAnsi="Arial" w:cs="Arial"/>
              <w:sz w:val="22"/>
            </w:rPr>
            <w:t>Rev.-Index:</w:t>
          </w:r>
          <w:r w:rsidRPr="00035EC2">
            <w:rPr>
              <w:rFonts w:ascii="Arial" w:hAnsi="Arial" w:cs="Arial"/>
              <w:sz w:val="22"/>
            </w:rPr>
            <w:tab/>
            <w:t>0</w:t>
          </w:r>
        </w:p>
        <w:p w:rsidR="00035EC2" w:rsidRDefault="00035EC2" w:rsidP="00035EC2">
          <w:pPr>
            <w:pStyle w:val="Kopfzeile"/>
            <w:tabs>
              <w:tab w:val="clear" w:pos="9072"/>
            </w:tabs>
            <w:spacing w:before="120" w:after="120" w:line="450" w:lineRule="exact"/>
            <w:ind w:left="34"/>
            <w:jc w:val="both"/>
            <w:rPr>
              <w:b/>
              <w:sz w:val="56"/>
              <w:szCs w:val="56"/>
            </w:rPr>
          </w:pPr>
          <w:r w:rsidRPr="00035EC2">
            <w:rPr>
              <w:sz w:val="22"/>
            </w:rPr>
            <w:t>Datum:</w:t>
          </w:r>
          <w:r w:rsidRPr="00035EC2">
            <w:rPr>
              <w:sz w:val="22"/>
            </w:rPr>
            <w:tab/>
          </w:r>
          <w:r w:rsidRPr="00035EC2">
            <w:rPr>
              <w:sz w:val="22"/>
            </w:rPr>
            <w:fldChar w:fldCharType="begin"/>
          </w:r>
          <w:r w:rsidRPr="00035EC2">
            <w:rPr>
              <w:sz w:val="22"/>
            </w:rPr>
            <w:instrText xml:space="preserve"> DATE \@ "dd. MM. yyyy" \* MERGEFORMAT </w:instrText>
          </w:r>
          <w:r w:rsidRPr="00035EC2">
            <w:rPr>
              <w:sz w:val="22"/>
            </w:rPr>
            <w:fldChar w:fldCharType="separate"/>
          </w:r>
          <w:r w:rsidR="00B42C20">
            <w:rPr>
              <w:noProof/>
              <w:sz w:val="22"/>
            </w:rPr>
            <w:t>03. 09. 2019</w:t>
          </w:r>
          <w:r w:rsidRPr="00035EC2">
            <w:rPr>
              <w:sz w:val="22"/>
            </w:rPr>
            <w:fldChar w:fldCharType="end"/>
          </w:r>
        </w:p>
      </w:tc>
    </w:tr>
  </w:tbl>
  <w:p w:rsidR="009B3B5E" w:rsidRPr="00695539" w:rsidRDefault="006E008E" w:rsidP="006E008E">
    <w:pPr>
      <w:pStyle w:val="Kopfzeile"/>
      <w:tabs>
        <w:tab w:val="clear" w:pos="4536"/>
        <w:tab w:val="clear" w:pos="9072"/>
        <w:tab w:val="left" w:pos="7860"/>
      </w:tabs>
      <w:spacing w:before="120" w:after="120"/>
    </w:pPr>
    <w:r>
      <w:rPr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-896620</wp:posOffset>
              </wp:positionV>
              <wp:extent cx="0" cy="895350"/>
              <wp:effectExtent l="1905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535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F0E0E" id="Gerader Verbinde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-70.6pt" to="97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" strokecolor="white [3212]" strokeweight="2.2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352"/>
    <w:multiLevelType w:val="hybridMultilevel"/>
    <w:tmpl w:val="6B620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10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B144D6"/>
    <w:multiLevelType w:val="hybridMultilevel"/>
    <w:tmpl w:val="FE9C721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9"/>
    <w:rsid w:val="00035EC2"/>
    <w:rsid w:val="00042881"/>
    <w:rsid w:val="00046F97"/>
    <w:rsid w:val="0005691C"/>
    <w:rsid w:val="00091D3E"/>
    <w:rsid w:val="000B788D"/>
    <w:rsid w:val="00135F11"/>
    <w:rsid w:val="001A0FE7"/>
    <w:rsid w:val="001E1365"/>
    <w:rsid w:val="00202272"/>
    <w:rsid w:val="00216384"/>
    <w:rsid w:val="00251A98"/>
    <w:rsid w:val="00297422"/>
    <w:rsid w:val="002B5EC1"/>
    <w:rsid w:val="00317E37"/>
    <w:rsid w:val="003E4A4F"/>
    <w:rsid w:val="004951EE"/>
    <w:rsid w:val="004D6F11"/>
    <w:rsid w:val="005208B6"/>
    <w:rsid w:val="00537564"/>
    <w:rsid w:val="005A40F8"/>
    <w:rsid w:val="005A489A"/>
    <w:rsid w:val="00643DCF"/>
    <w:rsid w:val="00695539"/>
    <w:rsid w:val="006C076B"/>
    <w:rsid w:val="006D4995"/>
    <w:rsid w:val="006E008E"/>
    <w:rsid w:val="00763227"/>
    <w:rsid w:val="0081590B"/>
    <w:rsid w:val="00875D7E"/>
    <w:rsid w:val="00876397"/>
    <w:rsid w:val="00900636"/>
    <w:rsid w:val="00970037"/>
    <w:rsid w:val="009A1948"/>
    <w:rsid w:val="009D6B16"/>
    <w:rsid w:val="00A41EA8"/>
    <w:rsid w:val="00AC7607"/>
    <w:rsid w:val="00AE6FA0"/>
    <w:rsid w:val="00B42C20"/>
    <w:rsid w:val="00C4794B"/>
    <w:rsid w:val="00CE70FB"/>
    <w:rsid w:val="00D20F05"/>
    <w:rsid w:val="00D33923"/>
    <w:rsid w:val="00E137C8"/>
    <w:rsid w:val="00E33156"/>
    <w:rsid w:val="00EA4C17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DD880-CD99-41B8-91CE-9CF38A1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5EC2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5539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695539"/>
    <w:rPr>
      <w:rFonts w:ascii="Arial" w:eastAsiaTheme="minorEastAsia" w:hAnsi="Arial" w:cs="Arial"/>
      <w:sz w:val="20"/>
      <w:szCs w:val="20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95539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695539"/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rsid w:val="00035EC2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Seitenzahl">
    <w:name w:val="page number"/>
    <w:basedOn w:val="Absatz-Standardschriftart"/>
    <w:rsid w:val="00035EC2"/>
  </w:style>
  <w:style w:type="table" w:styleId="Tabellenraster">
    <w:name w:val="Table Grid"/>
    <w:basedOn w:val="NormaleTabelle"/>
    <w:uiPriority w:val="59"/>
    <w:rsid w:val="0003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FA0"/>
    <w:pPr>
      <w:autoSpaceDE w:val="0"/>
      <w:autoSpaceDN w:val="0"/>
      <w:adjustRightInd w:val="0"/>
      <w:spacing w:after="0" w:line="240" w:lineRule="auto"/>
    </w:pPr>
    <w:rPr>
      <w:rFonts w:ascii="DGUV Meta-Bold" w:hAnsi="DGUV Meta-Bold" w:cs="DGUV Meta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E6FA0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E6FA0"/>
    <w:rPr>
      <w:rFonts w:ascii="DGUV Meta-Normal" w:hAnsi="DGUV Meta-Normal" w:cs="DGUV Meta-Normal"/>
      <w:color w:val="000000"/>
      <w:sz w:val="20"/>
      <w:szCs w:val="20"/>
    </w:rPr>
  </w:style>
  <w:style w:type="character" w:customStyle="1" w:styleId="A5">
    <w:name w:val="A5"/>
    <w:uiPriority w:val="99"/>
    <w:rsid w:val="00AE6FA0"/>
    <w:rPr>
      <w:rFonts w:ascii="DGUV Meta-Normal" w:hAnsi="DGUV Meta-Normal" w:cs="DGUV Meta-Normal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AE6FA0"/>
    <w:pPr>
      <w:spacing w:line="201" w:lineRule="atLeast"/>
    </w:pPr>
    <w:rPr>
      <w:rFonts w:cstheme="minorBidi"/>
      <w:color w:val="auto"/>
    </w:rPr>
  </w:style>
  <w:style w:type="paragraph" w:styleId="Textkrper">
    <w:name w:val="Body Text"/>
    <w:basedOn w:val="Standard"/>
    <w:link w:val="TextkrperZchn"/>
    <w:rsid w:val="00C4794B"/>
    <w:rPr>
      <w:rFonts w:ascii="Arial" w:hAnsi="Arial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C4794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4794B"/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C4794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A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39F9-388E-474F-960F-6CFDB4D5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Krassmann</dc:creator>
  <cp:keywords/>
  <dc:description/>
  <cp:lastModifiedBy>Thomas Krassmann</cp:lastModifiedBy>
  <cp:revision>9</cp:revision>
  <cp:lastPrinted>2019-09-03T20:54:00Z</cp:lastPrinted>
  <dcterms:created xsi:type="dcterms:W3CDTF">2019-09-03T14:26:00Z</dcterms:created>
  <dcterms:modified xsi:type="dcterms:W3CDTF">2019-09-03T20:54:00Z</dcterms:modified>
</cp:coreProperties>
</file>